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94" w:rsidRDefault="00DB4794" w:rsidP="00DB4794">
      <w:pPr>
        <w:pStyle w:val="Sinespaciado"/>
        <w:rPr>
          <w:lang w:val="en-US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337B194B" wp14:editId="148622B9">
            <wp:simplePos x="0" y="0"/>
            <wp:positionH relativeFrom="margin">
              <wp:align>left</wp:align>
            </wp:positionH>
            <wp:positionV relativeFrom="margin">
              <wp:posOffset>-194945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794" w:rsidRPr="00DE4149" w:rsidRDefault="00DB4794" w:rsidP="00DB4794">
      <w:pPr>
        <w:pStyle w:val="Sinespaciado"/>
        <w:rPr>
          <w:rFonts w:ascii="Arial" w:hAnsi="Arial" w:cs="Arial"/>
          <w:b/>
          <w:color w:val="0070C0"/>
          <w:sz w:val="32"/>
          <w:lang w:val="en-US"/>
        </w:rPr>
      </w:pPr>
      <w:r>
        <w:rPr>
          <w:lang w:val="en-US"/>
        </w:rPr>
        <w:t xml:space="preserve">                                                     </w:t>
      </w:r>
      <w:r w:rsidRPr="00DE4149">
        <w:rPr>
          <w:rFonts w:ascii="Arial" w:hAnsi="Arial" w:cs="Arial"/>
          <w:b/>
          <w:color w:val="0070C0"/>
          <w:sz w:val="32"/>
          <w:lang w:val="en-US"/>
        </w:rPr>
        <w:t>FICHA 27. MARCO PATRI</w:t>
      </w:r>
    </w:p>
    <w:p w:rsidR="00DB4794" w:rsidRDefault="00DB4794" w:rsidP="00DB4794">
      <w:pPr>
        <w:pStyle w:val="Sinespaciado"/>
        <w:rPr>
          <w:lang w:val="en-US"/>
        </w:rPr>
      </w:pPr>
    </w:p>
    <w:p w:rsidR="00DB4794" w:rsidRDefault="00DB4794" w:rsidP="00DB479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</w:p>
    <w:p w:rsidR="00DB4794" w:rsidRDefault="00DB4794" w:rsidP="00DB479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</w:p>
    <w:p w:rsidR="00DB4794" w:rsidRDefault="00DB4794" w:rsidP="00DB479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02019B" wp14:editId="1B048109">
                <wp:simplePos x="0" y="0"/>
                <wp:positionH relativeFrom="column">
                  <wp:posOffset>-47625</wp:posOffset>
                </wp:positionH>
                <wp:positionV relativeFrom="page">
                  <wp:posOffset>266700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EBB65" id="Grupo 15" o:spid="_x0000_s1026" style="position:absolute;margin-left:-3.75pt;margin-top:21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5Gr8A&#10;AADaAAAADwAAAGRycy9kb3ducmV2LnhtbERPS2sCMRC+F/ofwhR6q9l6EFmNYgstgij4OOht2Iy7&#10;oZvJkoy6/ffmIHj8+N7Tee9bdaWYXGADn4MCFHEVrOPawGH/8zEGlQTZYhuYDPxTgvns9WWKpQ03&#10;3tJ1J7XKIZxKNNCIdKXWqWrIYxqEjjhz5xA9Soax1jbiLYf7Vg+LYqQ9Os4NDXb03VD1t7t4A25d&#10;/443cSVf6C57PMnpGKQz5v2tX0xACfXyFD/cS2sgb81X8g3Qs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DkavwAAANoAAAAPAAAAAAAAAAAAAAAAAJgCAABkcnMvZG93bnJl&#10;di54bWxQSwUGAAAAAAQABAD1AAAAhAMAAAAA&#10;" fillcolor="#d8d8d8 [2732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DB4794" w:rsidRPr="00CB2397" w:rsidRDefault="00DB4794" w:rsidP="00DB4794">
      <w:pPr>
        <w:pStyle w:val="NormalWeb"/>
        <w:spacing w:before="120" w:beforeAutospacing="0" w:after="0" w:afterAutospacing="0"/>
        <w:jc w:val="center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DB4794" w:rsidRPr="00CB2397" w:rsidRDefault="00DB4794" w:rsidP="00DB4794">
      <w:pPr>
        <w:jc w:val="both"/>
        <w:rPr>
          <w:rFonts w:asciiTheme="minorHAnsi" w:hAnsiTheme="minorHAnsi"/>
          <w:i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DB4794" w:rsidRPr="00C20A76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69ED28AD" wp14:editId="4A3E58CD">
                  <wp:extent cx="246435" cy="247536"/>
                  <wp:effectExtent l="0" t="0" r="7620" b="6985"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Moderada/Alta</w:t>
            </w:r>
          </w:p>
        </w:tc>
      </w:tr>
      <w:tr w:rsidR="00DB4794" w:rsidRPr="00C20A76" w:rsidTr="0050237A">
        <w:tc>
          <w:tcPr>
            <w:tcW w:w="3298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54E19626" wp14:editId="6D4A1C4C">
                  <wp:extent cx="232658" cy="328674"/>
                  <wp:effectExtent l="0" t="0" r="0" b="1905"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Varias sesiones</w:t>
            </w:r>
          </w:p>
        </w:tc>
      </w:tr>
      <w:tr w:rsidR="00DB4794" w:rsidRPr="00BA0EFD" w:rsidTr="0050237A">
        <w:tc>
          <w:tcPr>
            <w:tcW w:w="3298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4F2C9069" wp14:editId="7BACEF45">
                  <wp:extent cx="513734" cy="227141"/>
                  <wp:effectExtent l="0" t="0" r="0" b="1905"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DB4794" w:rsidRPr="004B2368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B2368">
              <w:rPr>
                <w:rFonts w:asciiTheme="minorHAnsi" w:hAnsiTheme="minorHAnsi"/>
                <w:b/>
                <w:bCs/>
                <w:color w:val="000000" w:themeColor="text1"/>
              </w:rPr>
              <w:t>Post-</w:t>
            </w:r>
            <w:proofErr w:type="spellStart"/>
            <w:r w:rsidRPr="004B2368">
              <w:rPr>
                <w:rFonts w:asciiTheme="minorHAnsi" w:hAnsiTheme="minorHAnsi"/>
                <w:b/>
                <w:bCs/>
                <w:color w:val="000000" w:themeColor="text1"/>
              </w:rPr>
              <w:t>it</w:t>
            </w:r>
            <w:proofErr w:type="spellEnd"/>
          </w:p>
          <w:p w:rsidR="00DB4794" w:rsidRPr="004B2368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B2368">
              <w:rPr>
                <w:rFonts w:asciiTheme="minorHAnsi" w:hAnsiTheme="minorHAnsi"/>
                <w:b/>
                <w:bCs/>
                <w:color w:val="000000" w:themeColor="text1"/>
              </w:rPr>
              <w:t>Cartulinas</w:t>
            </w:r>
          </w:p>
          <w:p w:rsidR="00DB4794" w:rsidRPr="004B2368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B2368">
              <w:rPr>
                <w:rFonts w:asciiTheme="minorHAnsi" w:hAnsiTheme="minorHAnsi"/>
                <w:b/>
                <w:bCs/>
                <w:color w:val="000000" w:themeColor="text1"/>
              </w:rPr>
              <w:t>Rotuladores</w:t>
            </w:r>
          </w:p>
          <w:p w:rsidR="00DB4794" w:rsidRPr="004B2368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4B2368">
              <w:rPr>
                <w:rFonts w:asciiTheme="minorHAnsi" w:hAnsiTheme="minorHAnsi"/>
                <w:b/>
                <w:bCs/>
                <w:color w:val="000000" w:themeColor="text1"/>
              </w:rPr>
              <w:t>Ordenador</w:t>
            </w:r>
          </w:p>
        </w:tc>
      </w:tr>
      <w:tr w:rsidR="00DB4794" w:rsidRPr="00C20A76" w:rsidTr="0050237A">
        <w:tc>
          <w:tcPr>
            <w:tcW w:w="3298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Técnica. Gestión de Capital Financiero</w:t>
            </w:r>
          </w:p>
        </w:tc>
      </w:tr>
      <w:tr w:rsidR="00DB4794" w:rsidRPr="00C20A76" w:rsidTr="0050237A">
        <w:tc>
          <w:tcPr>
            <w:tcW w:w="3298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0A76">
              <w:rPr>
                <w:rFonts w:asciiTheme="minorHAnsi" w:hAnsiTheme="minorHAnsi"/>
                <w:b/>
                <w:bCs/>
                <w:color w:val="000000" w:themeColor="text1"/>
              </w:rPr>
              <w:t>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DB4794" w:rsidRPr="00C20A76" w:rsidRDefault="00DB4794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</w:tc>
      </w:tr>
    </w:tbl>
    <w:p w:rsidR="00DB4794" w:rsidRPr="001171DA" w:rsidRDefault="00DB4794" w:rsidP="00DB4794">
      <w:pPr>
        <w:jc w:val="both"/>
        <w:rPr>
          <w:rFonts w:asciiTheme="minorHAnsi" w:hAnsiTheme="minorHAnsi"/>
          <w:sz w:val="22"/>
          <w:szCs w:val="22"/>
        </w:rPr>
      </w:pPr>
    </w:p>
    <w:p w:rsidR="00DB4794" w:rsidRPr="001171DA" w:rsidRDefault="00DB4794" w:rsidP="00DB4794">
      <w:pPr>
        <w:jc w:val="both"/>
        <w:rPr>
          <w:rFonts w:asciiTheme="minorHAnsi" w:hAnsiTheme="minorHAnsi"/>
          <w:sz w:val="22"/>
          <w:szCs w:val="22"/>
        </w:rPr>
      </w:pPr>
    </w:p>
    <w:p w:rsidR="00DB4794" w:rsidRPr="00EB0A6D" w:rsidRDefault="00DB4794" w:rsidP="00DB4794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EB0A6D">
        <w:rPr>
          <w:rFonts w:ascii="Calibri" w:eastAsia="Calibri" w:hAnsi="Calibri" w:cs="Calibri"/>
          <w:b/>
          <w:color w:val="4A86E8"/>
          <w:highlight w:val="white"/>
          <w:lang w:val="en-US"/>
        </w:rPr>
        <w:t>ACERCA DE LA HERRAMIENTA</w:t>
      </w:r>
    </w:p>
    <w:p w:rsidR="00DB4794" w:rsidRDefault="00DB4794" w:rsidP="00DB4794">
      <w:pPr>
        <w:rPr>
          <w:rFonts w:asciiTheme="minorHAnsi" w:eastAsia="Calibri" w:hAnsiTheme="minorHAnsi" w:cs="Calibri"/>
          <w:sz w:val="22"/>
          <w:szCs w:val="22"/>
        </w:rPr>
      </w:pP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>Escalar esencialmente se refiere a una forma de crecimiento. Sin embargo, hay una distinción importante entre escalar y crecer. Mientras que crecer significa agregar recursos a una tasa similar a la de impacto o ingresos, escalar se refiere agregar impacto a una velocidad exponencial (</w:t>
      </w:r>
      <w:proofErr w:type="spellStart"/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>Ashoka</w:t>
      </w:r>
      <w:proofErr w:type="spellEnd"/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>, p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 163 y ss</w:t>
      </w: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 xml:space="preserve">.) al tiempo que se agregan recursos sólo a una velocidad incremental. </w:t>
      </w:r>
    </w:p>
    <w:p w:rsidR="00DB4794" w:rsidRPr="004F0D36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 xml:space="preserve">En un sector donde los recursos son escasos y un gran número de personas se ven afectadas por problemas sociales, rara vez es práctico aumentar los recursos al mismo ritmo que el alcance del impacto. 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DB4794" w:rsidRPr="004F0D36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>El crecimiento es típicamente la primera etapa en el camino hacia la escala. Una vez que hayas desarrollado y probado una solución, la siguiente etapa es aumentar su alcance de manera directa y controlada para comprender el proceso y la transferibilidad de su solución.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lang w:val="es-ES"/>
        </w:rPr>
      </w:pPr>
    </w:p>
    <w:p w:rsidR="00DB4794" w:rsidRPr="00E92B80" w:rsidRDefault="00DB4794" w:rsidP="00DB4794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E92B80">
        <w:rPr>
          <w:rFonts w:ascii="Calibri" w:eastAsia="Calibri" w:hAnsi="Calibri" w:cs="Calibri"/>
          <w:b/>
          <w:color w:val="4A86E8"/>
          <w:highlight w:val="white"/>
        </w:rPr>
        <w:t>OBJETIVO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lang w:val="es-ES"/>
        </w:rPr>
      </w:pPr>
    </w:p>
    <w:p w:rsidR="00DB4794" w:rsidRPr="00EB0A6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Esta herramienta busca ofrecer técnicas y recomendaciones para que tu innovación social en lugar de crecer pueda escalar. </w:t>
      </w:r>
    </w:p>
    <w:p w:rsidR="00DB4794" w:rsidRPr="00EB0A6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DB4794" w:rsidRPr="00EB0A6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>Esta herramienta ayuda a escalar una solución de impacto existente y la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s estructuras </w:t>
      </w: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organizativas correspondientes por lo que tiene una serie de condiciones previas: </w:t>
      </w:r>
    </w:p>
    <w:p w:rsidR="00DB4794" w:rsidRPr="00EB0A6D" w:rsidRDefault="00DB4794" w:rsidP="00DB4794">
      <w:pPr>
        <w:pStyle w:val="HTMLconformatoprevio"/>
        <w:ind w:left="708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>1. El problema, la necesidad o el problema se entiende bien y se caracteriza a nivel local, con resultados comparados para su entorno actual y demográfico de los beneficiarios.</w:t>
      </w:r>
    </w:p>
    <w:p w:rsidR="00DB4794" w:rsidRPr="00EB0A6D" w:rsidRDefault="00DB4794" w:rsidP="00DB4794">
      <w:pPr>
        <w:pStyle w:val="HTMLconformatoprevio"/>
        <w:ind w:left="708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>2. Usted tiene una visión correspondiente y significativa con objetivos de resultado basados en esos puntos de referencia.</w:t>
      </w:r>
    </w:p>
    <w:p w:rsidR="00DB4794" w:rsidRPr="00EB0A6D" w:rsidRDefault="00DB4794" w:rsidP="00DB4794">
      <w:pPr>
        <w:pStyle w:val="HTMLconformatoprevio"/>
        <w:ind w:left="708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>3. La solución a escalar tiene un impacto comprobado (con datos) y una capacidad probada para alcanzar estos objetivos.</w:t>
      </w:r>
    </w:p>
    <w:p w:rsidR="00DB4794" w:rsidRPr="00EB0A6D" w:rsidRDefault="00DB4794" w:rsidP="00DB4794">
      <w:pPr>
        <w:pStyle w:val="HTMLconformatoprevio"/>
        <w:ind w:left="708"/>
        <w:jc w:val="both"/>
        <w:rPr>
          <w:rFonts w:asciiTheme="minorHAnsi" w:hAnsiTheme="minorHAnsi"/>
          <w:color w:val="212121"/>
          <w:sz w:val="22"/>
          <w:szCs w:val="22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>4. Ya ha aumentado su impacto en cierta medida y comprende algo de lo que se necesita para replicar su solución.</w:t>
      </w:r>
    </w:p>
    <w:p w:rsidR="00DB4794" w:rsidRPr="00EB0A6D" w:rsidRDefault="00DB4794" w:rsidP="00DB4794">
      <w:pPr>
        <w:pStyle w:val="HTMLconformatoprevio"/>
        <w:jc w:val="both"/>
        <w:rPr>
          <w:rFonts w:asciiTheme="minorHAnsi" w:hAnsiTheme="minorHAnsi"/>
          <w:color w:val="212121"/>
        </w:rPr>
      </w:pPr>
    </w:p>
    <w:p w:rsidR="00DB4794" w:rsidRPr="00E92B80" w:rsidRDefault="00DB4794" w:rsidP="00DB4794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E92B80">
        <w:rPr>
          <w:rFonts w:ascii="Calibri" w:eastAsia="Calibri" w:hAnsi="Calibri" w:cs="Calibri"/>
          <w:b/>
          <w:color w:val="4A86E8"/>
          <w:highlight w:val="white"/>
        </w:rPr>
        <w:t>PASOS</w:t>
      </w:r>
    </w:p>
    <w:p w:rsidR="00DB4794" w:rsidRPr="00E92B80" w:rsidRDefault="00DB4794" w:rsidP="00DB4794">
      <w:pPr>
        <w:pStyle w:val="HTMLconformatoprevio"/>
        <w:jc w:val="both"/>
        <w:rPr>
          <w:rFonts w:ascii="Calibri" w:eastAsia="Calibri" w:hAnsi="Calibri" w:cs="Calibri"/>
          <w:b/>
          <w:color w:val="4A86E8"/>
          <w:sz w:val="24"/>
          <w:szCs w:val="24"/>
        </w:rPr>
      </w:pPr>
    </w:p>
    <w:p w:rsidR="00DB4794" w:rsidRPr="0028129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>En su nivel más alto, el Marco consiste en un conjunto correspondiente de cinco preguntas clave que ayudarán a escalar con éxito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.</w:t>
      </w:r>
    </w:p>
    <w:p w:rsidR="00DB4794" w:rsidRPr="0028129D" w:rsidRDefault="00DB4794" w:rsidP="00DB4794">
      <w:pPr>
        <w:pStyle w:val="HTMLconformatoprevio"/>
        <w:numPr>
          <w:ilvl w:val="0"/>
          <w:numId w:val="1"/>
        </w:numPr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>¿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El</w:t>
      </w: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 objetivo es válido y está bien definido? (Propósito)</w:t>
      </w:r>
    </w:p>
    <w:p w:rsidR="00DB4794" w:rsidRPr="0028129D" w:rsidRDefault="00DB4794" w:rsidP="00DB4794">
      <w:pPr>
        <w:pStyle w:val="HTMLconformatoprevio"/>
        <w:numPr>
          <w:ilvl w:val="0"/>
          <w:numId w:val="1"/>
        </w:numPr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>¿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El</w:t>
      </w: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 diseño es aplicable a escala? (Aplicabilidad)</w:t>
      </w:r>
    </w:p>
    <w:p w:rsidR="00DB4794" w:rsidRPr="0028129D" w:rsidRDefault="00DB4794" w:rsidP="00DB4794">
      <w:pPr>
        <w:pStyle w:val="HTMLconformatoprevio"/>
        <w:numPr>
          <w:ilvl w:val="0"/>
          <w:numId w:val="1"/>
        </w:numPr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>¿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El</w:t>
      </w: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 modelo está sistematizado y es transferible? (Transferibilidad)</w:t>
      </w:r>
    </w:p>
    <w:p w:rsidR="00DB4794" w:rsidRPr="0028129D" w:rsidRDefault="00DB4794" w:rsidP="00DB4794">
      <w:pPr>
        <w:pStyle w:val="HTMLconformatoprevio"/>
        <w:numPr>
          <w:ilvl w:val="0"/>
          <w:numId w:val="1"/>
        </w:numPr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¿Está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la</w:t>
      </w: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 organización lista para escalar? (Aplicabilidad)</w:t>
      </w:r>
    </w:p>
    <w:p w:rsidR="00DB4794" w:rsidRPr="0028129D" w:rsidRDefault="00DB4794" w:rsidP="00DB4794">
      <w:pPr>
        <w:pStyle w:val="HTMLconformatoprevio"/>
        <w:numPr>
          <w:ilvl w:val="0"/>
          <w:numId w:val="1"/>
        </w:numPr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¿Es robusta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la</w:t>
      </w: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 xml:space="preserve"> planificación de implementación? (Implementación)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DB4794" w:rsidRPr="0028129D" w:rsidRDefault="00DB4794" w:rsidP="00DB4794">
      <w:pPr>
        <w:pStyle w:val="HTMLconformatoprevio"/>
        <w:jc w:val="both"/>
        <w:outlineLvl w:val="0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28129D">
        <w:rPr>
          <w:rFonts w:asciiTheme="minorHAnsi" w:hAnsiTheme="minorHAnsi"/>
          <w:color w:val="212121"/>
          <w:sz w:val="22"/>
          <w:szCs w:val="22"/>
          <w:lang w:val="es-ES"/>
        </w:rPr>
        <w:t>Estas preguntas forman los componentes centrales que le dan su nombre al Marco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 PATRI.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lang w:val="es-ES"/>
        </w:rPr>
      </w:pPr>
    </w:p>
    <w:p w:rsidR="00DB4794" w:rsidRPr="00EB0A6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1.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El primer paso consiste en</w:t>
      </w: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realizar</w:t>
      </w: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 un plan de escala comprehensivo para uso interno que resuma y coteje todas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las</w:t>
      </w: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 decisiones clave, estrategias y requisitos clave.</w:t>
      </w:r>
    </w:p>
    <w:p w:rsidR="00DB4794" w:rsidRPr="00EB0A6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2.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EL siguiente paso consiste en mantener</w:t>
      </w: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 a las partes interesadas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 involucradas en el proyecto</w:t>
      </w:r>
      <w:r w:rsidRPr="00EB0A6D">
        <w:rPr>
          <w:rFonts w:asciiTheme="minorHAnsi" w:hAnsiTheme="minorHAnsi"/>
          <w:color w:val="212121"/>
          <w:sz w:val="22"/>
          <w:szCs w:val="22"/>
          <w:lang w:val="es-ES"/>
        </w:rPr>
        <w:t xml:space="preserve"> para mejorar el plan. 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lang w:val="es-ES"/>
        </w:rPr>
      </w:pPr>
    </w:p>
    <w:p w:rsidR="00DB4794" w:rsidRPr="00E92B80" w:rsidRDefault="00DB4794" w:rsidP="00DB4794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E92B80">
        <w:rPr>
          <w:rFonts w:ascii="Calibri" w:eastAsia="Calibri" w:hAnsi="Calibri" w:cs="Calibri"/>
          <w:b/>
          <w:color w:val="4A86E8"/>
          <w:highlight w:val="white"/>
        </w:rPr>
        <w:t>CONSEJOS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>
        <w:rPr>
          <w:rFonts w:asciiTheme="minorHAnsi" w:hAnsiTheme="minorHAnsi"/>
          <w:color w:val="212121"/>
          <w:sz w:val="22"/>
          <w:szCs w:val="22"/>
          <w:lang w:val="es-ES"/>
        </w:rPr>
        <w:t>Se sugiere pensar en escalar la innovación s</w:t>
      </w: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 xml:space="preserve">olo cuando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se </w:t>
      </w: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 xml:space="preserve">haya alcanzado un tamaño operacional estable y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se haya </w:t>
      </w:r>
      <w:r w:rsidRPr="004F0D36">
        <w:rPr>
          <w:rFonts w:asciiTheme="minorHAnsi" w:hAnsiTheme="minorHAnsi"/>
          <w:color w:val="212121"/>
          <w:sz w:val="22"/>
          <w:szCs w:val="22"/>
          <w:lang w:val="es-ES"/>
        </w:rPr>
        <w:t>comprendido lo que funciona y lo que no funciona en términos de impacto y funcionamiento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. </w:t>
      </w:r>
    </w:p>
    <w:p w:rsidR="00DB4794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DB4794" w:rsidRPr="00D95D8D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D95D8D">
        <w:rPr>
          <w:rFonts w:asciiTheme="minorHAnsi" w:hAnsiTheme="minorHAnsi"/>
          <w:color w:val="212121"/>
          <w:sz w:val="22"/>
          <w:szCs w:val="22"/>
          <w:lang w:val="es-ES"/>
        </w:rPr>
        <w:t xml:space="preserve">Planifica para escalar. El cambio de escala es un cambio fundamental en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la</w:t>
      </w:r>
      <w:r w:rsidRPr="00D95D8D">
        <w:rPr>
          <w:rFonts w:asciiTheme="minorHAnsi" w:hAnsiTheme="minorHAnsi"/>
          <w:color w:val="212121"/>
          <w:sz w:val="22"/>
          <w:szCs w:val="22"/>
          <w:lang w:val="es-ES"/>
        </w:rPr>
        <w:t xml:space="preserve"> capacidad para marcar la diferencia, no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se debe</w:t>
      </w:r>
      <w:r w:rsidRPr="00D95D8D">
        <w:rPr>
          <w:rFonts w:asciiTheme="minorHAnsi" w:hAnsiTheme="minorHAnsi"/>
          <w:color w:val="212121"/>
          <w:sz w:val="22"/>
          <w:szCs w:val="22"/>
          <w:lang w:val="es-ES"/>
        </w:rPr>
        <w:t xml:space="preserve"> menospreciar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la</w:t>
      </w:r>
      <w:r w:rsidRPr="00D95D8D">
        <w:rPr>
          <w:rFonts w:asciiTheme="minorHAnsi" w:hAnsiTheme="minorHAnsi"/>
          <w:color w:val="212121"/>
          <w:sz w:val="22"/>
          <w:szCs w:val="22"/>
          <w:lang w:val="es-ES"/>
        </w:rPr>
        <w:t xml:space="preserve"> importancia ya que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se debe</w:t>
      </w:r>
      <w:r w:rsidRPr="00D95D8D">
        <w:rPr>
          <w:rFonts w:asciiTheme="minorHAnsi" w:hAnsiTheme="minorHAnsi"/>
          <w:color w:val="212121"/>
          <w:sz w:val="22"/>
          <w:szCs w:val="22"/>
          <w:lang w:val="es-ES"/>
        </w:rPr>
        <w:t xml:space="preserve"> poner las bases correctas desde el inicio si 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se desea</w:t>
      </w:r>
      <w:r w:rsidRPr="00D95D8D">
        <w:rPr>
          <w:rFonts w:asciiTheme="minorHAnsi" w:hAnsiTheme="minorHAnsi"/>
          <w:color w:val="212121"/>
          <w:sz w:val="22"/>
          <w:szCs w:val="22"/>
          <w:lang w:val="es-ES"/>
        </w:rPr>
        <w:t xml:space="preserve"> generar impacto a gran escala. </w:t>
      </w:r>
    </w:p>
    <w:p w:rsidR="00DB4794" w:rsidRPr="004F0D36" w:rsidRDefault="00DB4794" w:rsidP="00DB4794">
      <w:pPr>
        <w:pStyle w:val="HTMLconformatoprevio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DB4794" w:rsidRPr="00187662" w:rsidRDefault="00DB4794" w:rsidP="00DB4794">
      <w:pPr>
        <w:spacing w:after="200" w:line="288" w:lineRule="auto"/>
        <w:rPr>
          <w:rFonts w:ascii="Calibri" w:eastAsia="Calibri" w:hAnsi="Calibri" w:cs="Calibri"/>
          <w:b/>
          <w:color w:val="4A86E8"/>
          <w:highlight w:val="white"/>
        </w:rPr>
      </w:pPr>
      <w:r w:rsidRPr="00187662">
        <w:rPr>
          <w:rFonts w:ascii="Calibri" w:eastAsia="Calibri" w:hAnsi="Calibri" w:cs="Calibri"/>
          <w:b/>
          <w:color w:val="4A86E8"/>
          <w:highlight w:val="white"/>
        </w:rPr>
        <w:br w:type="page"/>
      </w:r>
    </w:p>
    <w:p w:rsidR="00DB4794" w:rsidRPr="00664684" w:rsidRDefault="00DB4794" w:rsidP="00DB4794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EB0A6D">
        <w:rPr>
          <w:rFonts w:ascii="Calibri" w:eastAsia="Calibri" w:hAnsi="Calibri" w:cs="Calibri"/>
          <w:b/>
          <w:color w:val="4A86E8"/>
          <w:highlight w:val="white"/>
          <w:lang w:val="en-US"/>
        </w:rPr>
        <w:lastRenderedPageBreak/>
        <w:t>ESQUEMA VISUAL</w:t>
      </w:r>
    </w:p>
    <w:p w:rsidR="00DB4794" w:rsidRPr="00AE5212" w:rsidRDefault="00DB4794" w:rsidP="00DB4794">
      <w:pPr>
        <w:rPr>
          <w:rFonts w:asciiTheme="minorHAnsi" w:eastAsia="Calibri" w:hAnsiTheme="minorHAnsi" w:cs="Calibri"/>
          <w:sz w:val="22"/>
          <w:szCs w:val="22"/>
        </w:rPr>
      </w:pPr>
    </w:p>
    <w:p w:rsidR="00DB4794" w:rsidRDefault="00DB4794" w:rsidP="00DB479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CR" w:eastAsia="es-CR"/>
        </w:rPr>
        <w:drawing>
          <wp:inline distT="0" distB="0" distL="0" distR="0" wp14:anchorId="3464362F" wp14:editId="037F7654">
            <wp:extent cx="5396230" cy="658558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arco Patri.001.jpe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94" w:rsidRPr="0028129D" w:rsidRDefault="00DB4794" w:rsidP="00DB4794">
      <w:pPr>
        <w:jc w:val="both"/>
        <w:outlineLvl w:val="0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Fuente</w:t>
      </w:r>
      <w:proofErr w:type="spellEnd"/>
      <w:r w:rsidRPr="0028129D">
        <w:rPr>
          <w:rFonts w:asciiTheme="minorHAnsi" w:hAnsiTheme="minorHAnsi"/>
          <w:sz w:val="20"/>
          <w:szCs w:val="20"/>
          <w:lang w:val="en-US"/>
        </w:rPr>
        <w:t xml:space="preserve">: </w:t>
      </w: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Rizwan</w:t>
      </w:r>
      <w:proofErr w:type="spellEnd"/>
      <w:r w:rsidRPr="0028129D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Tayabali</w:t>
      </w:r>
      <w:proofErr w:type="spellEnd"/>
      <w:r w:rsidRPr="0028129D">
        <w:rPr>
          <w:rFonts w:asciiTheme="minorHAnsi" w:hAnsiTheme="minorHAnsi"/>
          <w:sz w:val="20"/>
          <w:szCs w:val="20"/>
          <w:lang w:val="en-US"/>
        </w:rPr>
        <w:t xml:space="preserve">, PATRI Framework for Scaling Social Innovation, </w:t>
      </w: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Ashoka</w:t>
      </w:r>
      <w:proofErr w:type="spellEnd"/>
      <w:r w:rsidRPr="0028129D">
        <w:rPr>
          <w:rFonts w:asciiTheme="minorHAnsi" w:hAnsiTheme="minorHAnsi"/>
          <w:sz w:val="20"/>
          <w:szCs w:val="20"/>
          <w:lang w:val="en-US"/>
        </w:rPr>
        <w:t xml:space="preserve">, </w:t>
      </w:r>
    </w:p>
    <w:p w:rsidR="00DB4794" w:rsidRPr="00313281" w:rsidRDefault="00DB4794" w:rsidP="00DB479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DB4794" w:rsidRDefault="00DB4794" w:rsidP="00DB4794">
      <w:pPr>
        <w:spacing w:before="120"/>
        <w:rPr>
          <w:rFonts w:ascii="Calibri" w:eastAsia="Calibri" w:hAnsi="Calibri" w:cs="Calibri"/>
          <w:b/>
          <w:color w:val="4A86E8"/>
          <w:highlight w:val="white"/>
          <w:lang w:val="en-US"/>
        </w:rPr>
      </w:pPr>
    </w:p>
    <w:p w:rsidR="00DB4794" w:rsidRPr="0028129D" w:rsidRDefault="00DB4794" w:rsidP="00DB4794">
      <w:pPr>
        <w:spacing w:before="120"/>
        <w:ind w:left="360"/>
        <w:outlineLvl w:val="0"/>
        <w:rPr>
          <w:rFonts w:ascii="Calibri" w:eastAsia="Calibri" w:hAnsi="Calibri" w:cs="Calibri"/>
          <w:b/>
          <w:color w:val="4A86E8"/>
          <w:highlight w:val="white"/>
          <w:lang w:val="en-US"/>
        </w:rPr>
      </w:pPr>
      <w:r w:rsidRPr="0028129D">
        <w:rPr>
          <w:rFonts w:ascii="Calibri" w:eastAsia="Calibri" w:hAnsi="Calibri" w:cs="Calibri"/>
          <w:b/>
          <w:color w:val="4A86E8"/>
          <w:highlight w:val="white"/>
          <w:lang w:val="en-US"/>
        </w:rPr>
        <w:t>REFERENCIAS</w:t>
      </w:r>
    </w:p>
    <w:p w:rsidR="00DB4794" w:rsidRDefault="00DB4794" w:rsidP="00DB4794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DB4794" w:rsidRPr="0028129D" w:rsidRDefault="00DB4794" w:rsidP="00DB4794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Rizwan</w:t>
      </w:r>
      <w:proofErr w:type="spellEnd"/>
      <w:r w:rsidRPr="0028129D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Tayabali</w:t>
      </w:r>
      <w:proofErr w:type="spellEnd"/>
      <w:r w:rsidRPr="0028129D">
        <w:rPr>
          <w:rFonts w:asciiTheme="minorHAnsi" w:hAnsiTheme="minorHAnsi"/>
          <w:sz w:val="20"/>
          <w:szCs w:val="20"/>
          <w:lang w:val="en-US"/>
        </w:rPr>
        <w:t xml:space="preserve">, PATRI Framework for Scaling Social Innovation, </w:t>
      </w:r>
      <w:proofErr w:type="spellStart"/>
      <w:r w:rsidRPr="0028129D">
        <w:rPr>
          <w:rFonts w:asciiTheme="minorHAnsi" w:hAnsiTheme="minorHAnsi"/>
          <w:sz w:val="20"/>
          <w:szCs w:val="20"/>
          <w:lang w:val="en-US"/>
        </w:rPr>
        <w:t>Ashoka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28129D">
        <w:rPr>
          <w:rFonts w:asciiTheme="minorHAnsi" w:hAnsiTheme="minorHAnsi"/>
          <w:sz w:val="20"/>
          <w:szCs w:val="20"/>
          <w:lang w:val="en-US"/>
        </w:rPr>
        <w:t>http://www.socialeffect.org/2014/06/a-new-framework-for-scaling-social.html</w:t>
      </w:r>
    </w:p>
    <w:p w:rsidR="00DB4794" w:rsidRPr="00313281" w:rsidRDefault="00DB4794" w:rsidP="00DB479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DB4794" w:rsidRDefault="00DB4794" w:rsidP="00DB4794">
      <w:pPr>
        <w:spacing w:after="200" w:line="288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:rsidR="0024112F" w:rsidRPr="00DB4794" w:rsidRDefault="0024112F">
      <w:pPr>
        <w:rPr>
          <w:lang w:val="en-US"/>
        </w:rPr>
      </w:pPr>
    </w:p>
    <w:sectPr w:rsidR="0024112F" w:rsidRPr="00DB4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2EC"/>
    <w:multiLevelType w:val="hybridMultilevel"/>
    <w:tmpl w:val="F10AC3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94"/>
    <w:rsid w:val="0024112F"/>
    <w:rsid w:val="00DB4794"/>
    <w:rsid w:val="00D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7FCF31-B18A-4799-BBF1-68EAD40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4794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4794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B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4794"/>
    <w:rPr>
      <w:rFonts w:ascii="Courier New" w:eastAsiaTheme="minorEastAsia" w:hAnsi="Courier New" w:cs="Courier New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DB47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2018-05-10T08:27:00Z</dcterms:created>
  <dcterms:modified xsi:type="dcterms:W3CDTF">2018-05-10T10:03:00Z</dcterms:modified>
</cp:coreProperties>
</file>